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8D" w:rsidRDefault="002E038D" w:rsidP="002E038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B5965">
        <w:rPr>
          <w:b/>
        </w:rPr>
        <w:t>ПОЛУЧЕНИЕ ГРАДОСТРОИТЕЛЬНОГО ПЛАНА ЗЕМЕЛЬНОГО УЧАСТКА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proofErr w:type="gramStart"/>
      <w:r w:rsidRPr="007B5965"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В градостроительном плане земельного участка содержится информация: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2) о границах земельного участка и о кадастровом номере земельного участка (при его наличии);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 xml:space="preserve">5) об основных, условно разрешенных и вспомогательных видах разрешенного использования земельного участка, установленных в соответствии с </w:t>
      </w:r>
      <w:r>
        <w:t xml:space="preserve">Градостроительным </w:t>
      </w:r>
      <w:r w:rsidRPr="007B5965">
        <w:t>Кодексом;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proofErr w:type="gramStart"/>
      <w:r w:rsidRPr="007B5965"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 xml:space="preserve">9) об ограничениях использования земельного участка, в том </w:t>
      </w:r>
      <w:proofErr w:type="gramStart"/>
      <w:r w:rsidRPr="007B5965">
        <w:t>числе</w:t>
      </w:r>
      <w:proofErr w:type="gramEnd"/>
      <w:r w:rsidRPr="007B5965"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lastRenderedPageBreak/>
        <w:t>11) о границах зон действия публичных сервитутов;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12) о номере и (или) наименовании элемента планировочной структуры, в границах которого расположен земельный участок;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17) о красных линиях.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В случае</w:t>
      </w:r>
      <w:proofErr w:type="gramStart"/>
      <w:r w:rsidRPr="007B5965">
        <w:t>,</w:t>
      </w:r>
      <w:proofErr w:type="gramEnd"/>
      <w:r w:rsidRPr="007B5965">
        <w:t xml:space="preserve"> если в соответствии с </w:t>
      </w:r>
      <w:r>
        <w:t>Градостроительным</w:t>
      </w:r>
      <w:r w:rsidRPr="007B5965">
        <w:t xml:space="preserve">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 w:rsidRPr="007B5965">
        <w:rPr>
          <w:b/>
        </w:rPr>
        <w:t>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</w:t>
      </w:r>
      <w:r w:rsidRPr="007B5965">
        <w:t>.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 xml:space="preserve">Орган местного самоуправления </w:t>
      </w:r>
      <w:r w:rsidRPr="007B5965">
        <w:rPr>
          <w:b/>
        </w:rPr>
        <w:t>в течение двадцати рабочих дней</w:t>
      </w:r>
      <w:r w:rsidRPr="007B5965">
        <w:t xml:space="preserve"> после получения заявления, указанного в части 5 ст.57.3 Градостроительного кодекса,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proofErr w:type="gramStart"/>
      <w:r w:rsidRPr="007B5965"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7B5965">
        <w:t xml:space="preserve">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Кодекса.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2E038D" w:rsidRPr="007B5965" w:rsidRDefault="002E038D" w:rsidP="002E038D">
      <w:pPr>
        <w:autoSpaceDE w:val="0"/>
        <w:autoSpaceDN w:val="0"/>
        <w:adjustRightInd w:val="0"/>
        <w:ind w:firstLine="540"/>
        <w:jc w:val="both"/>
      </w:pPr>
      <w:r w:rsidRPr="007B5965"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</w:t>
      </w:r>
      <w:r>
        <w:t>ст.57.3 Градостроительного кодекса</w:t>
      </w:r>
      <w:r w:rsidRPr="007B5965">
        <w:t xml:space="preserve"> целях</w:t>
      </w:r>
      <w:r>
        <w:t>,</w:t>
      </w:r>
      <w:r w:rsidRPr="007B5965">
        <w:t xml:space="preserve"> не допускается.</w:t>
      </w:r>
    </w:p>
    <w:p w:rsidR="00182EBF" w:rsidRDefault="002E038D"/>
    <w:sectPr w:rsidR="0018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8D"/>
    <w:rsid w:val="00212290"/>
    <w:rsid w:val="002E038D"/>
    <w:rsid w:val="008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Хубиева</dc:creator>
  <cp:lastModifiedBy>Хубиева</cp:lastModifiedBy>
  <cp:revision>1</cp:revision>
  <dcterms:created xsi:type="dcterms:W3CDTF">2018-05-07T11:24:00Z</dcterms:created>
  <dcterms:modified xsi:type="dcterms:W3CDTF">2018-05-07T11:25:00Z</dcterms:modified>
</cp:coreProperties>
</file>